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3213"/>
        <w:gridCol w:w="6985"/>
      </w:tblGrid>
      <w:tr w:rsidR="002A0923" w:rsidRPr="002A0923">
        <w:tc>
          <w:tcPr>
            <w:tcW w:w="3227" w:type="dxa"/>
            <w:vAlign w:val="center"/>
          </w:tcPr>
          <w:p w:rsidR="002A0923" w:rsidRPr="002A0923" w:rsidRDefault="00830E70">
            <w:pPr>
              <w:rPr>
                <w:rFonts w:ascii="Arial" w:hAnsi="Arial"/>
              </w:rPr>
            </w:pPr>
            <w:bookmarkStart w:id="0" w:name="_GoBack"/>
            <w:bookmarkEnd w:id="0"/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sz w:val="44"/>
              </w:rPr>
              <w:t>pour les Jurys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:rsidR="002A0923" w:rsidRPr="002A0923" w:rsidRDefault="002A0923">
            <w:pPr>
              <w:rPr>
                <w:rFonts w:ascii="Arial" w:hAnsi="Arial"/>
              </w:rPr>
            </w:pPr>
          </w:p>
        </w:tc>
      </w:tr>
    </w:tbl>
    <w:p w:rsidR="009F3D81" w:rsidRDefault="009F3D81" w:rsidP="00D12C6D">
      <w:pPr>
        <w:jc w:val="both"/>
        <w:rPr>
          <w:rFonts w:ascii="Arial" w:hAnsi="Arial"/>
          <w:sz w:val="20"/>
        </w:rPr>
      </w:pPr>
    </w:p>
    <w:p w:rsidR="00B43E5F" w:rsidRDefault="00B43E5F" w:rsidP="00D12C6D">
      <w:pPr>
        <w:jc w:val="both"/>
        <w:rPr>
          <w:rFonts w:ascii="Arial" w:hAnsi="Arial"/>
          <w:sz w:val="20"/>
        </w:rPr>
      </w:pPr>
    </w:p>
    <w:p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:rsidR="007F05C3" w:rsidRPr="009443D6" w:rsidRDefault="007F05C3" w:rsidP="00D12C6D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Une enveloppe budgétaire </w:t>
      </w:r>
      <w:r w:rsidR="00691A4C" w:rsidRPr="009443D6">
        <w:rPr>
          <w:rFonts w:ascii="Arial" w:hAnsi="Arial"/>
          <w:sz w:val="20"/>
        </w:rPr>
        <w:t>forfaitaire est disponible</w:t>
      </w:r>
      <w:r w:rsidRPr="009443D6">
        <w:rPr>
          <w:rFonts w:ascii="Arial" w:hAnsi="Arial"/>
          <w:sz w:val="20"/>
        </w:rPr>
        <w:t xml:space="preserve"> pour chaque soutenance :</w:t>
      </w:r>
    </w:p>
    <w:p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:rsidR="00D67306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82315F" w:rsidRPr="009443D6">
        <w:rPr>
          <w:rFonts w:ascii="Arial" w:hAnsi="Arial"/>
          <w:sz w:val="20"/>
        </w:rPr>
        <w:t xml:space="preserve">450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691A4C" w:rsidRPr="009443D6">
        <w:rPr>
          <w:rFonts w:ascii="Arial" w:hAnsi="Arial"/>
          <w:sz w:val="20"/>
        </w:rPr>
        <w:t xml:space="preserve"> (</w:t>
      </w:r>
      <w:r w:rsidR="00666BC3" w:rsidRPr="009443D6">
        <w:rPr>
          <w:rFonts w:ascii="Arial" w:hAnsi="Arial"/>
          <w:sz w:val="20"/>
        </w:rPr>
        <w:t>contribution</w:t>
      </w:r>
      <w:r w:rsidR="00691A4C" w:rsidRPr="009443D6">
        <w:rPr>
          <w:rFonts w:ascii="Arial" w:hAnsi="Arial"/>
          <w:sz w:val="20"/>
        </w:rPr>
        <w:t xml:space="preserve"> de l’Université)</w:t>
      </w:r>
    </w:p>
    <w:p w:rsidR="00580FA8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666BC3" w:rsidRPr="009443D6">
        <w:rPr>
          <w:rFonts w:ascii="Arial" w:hAnsi="Arial"/>
          <w:sz w:val="20"/>
        </w:rPr>
        <w:t xml:space="preserve"> (contribution</w:t>
      </w:r>
      <w:r w:rsidR="00691A4C" w:rsidRPr="009443D6">
        <w:rPr>
          <w:rFonts w:ascii="Arial" w:hAnsi="Arial"/>
          <w:sz w:val="20"/>
        </w:rPr>
        <w:t xml:space="preserve"> de la Commission Recherche)</w:t>
      </w:r>
    </w:p>
    <w:p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le directeur de thèse ou d’HDR avant tout engagement de dépense.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:rsidR="00571F77" w:rsidRPr="009443D6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Le directeur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93"/>
        <w:gridCol w:w="7113"/>
      </w:tblGrid>
      <w:tr w:rsidR="00DD6109" w:rsidRPr="009443D6">
        <w:tc>
          <w:tcPr>
            <w:tcW w:w="2093" w:type="dxa"/>
            <w:vAlign w:val="center"/>
          </w:tcPr>
          <w:p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r w:rsidRPr="009443D6">
              <w:rPr>
                <w:rFonts w:ascii="Arial" w:hAnsi="Arial"/>
                <w:sz w:val="20"/>
              </w:rPr>
              <w:t xml:space="preserve">Quelque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9F3D81" w:rsidRDefault="009F3D81" w:rsidP="00BC4E08">
      <w:pPr>
        <w:jc w:val="both"/>
        <w:rPr>
          <w:rFonts w:ascii="Arial" w:hAnsi="Arial"/>
          <w:sz w:val="20"/>
        </w:rPr>
      </w:pPr>
    </w:p>
    <w:p w:rsidR="003A6C4A" w:rsidRDefault="003A6C4A" w:rsidP="00BC4E08">
      <w:pPr>
        <w:jc w:val="both"/>
        <w:rPr>
          <w:rFonts w:ascii="Arial" w:hAnsi="Arial"/>
          <w:sz w:val="20"/>
        </w:rPr>
      </w:pPr>
    </w:p>
    <w:p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2272"/>
        <w:gridCol w:w="7934"/>
      </w:tblGrid>
      <w:tr w:rsidR="0063104C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 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D81" w:rsidRDefault="009F3D81">
            <w:pPr>
              <w:rPr>
                <w:rFonts w:ascii="Arial" w:hAnsi="Arial"/>
                <w:sz w:val="20"/>
              </w:rPr>
            </w:pPr>
          </w:p>
          <w:p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:rsidR="000426AF" w:rsidRDefault="000426AF" w:rsidP="000426AF"/>
    <w:p w:rsidR="000426AF" w:rsidRDefault="000426AF">
      <w:pPr>
        <w:jc w:val="center"/>
      </w:pPr>
    </w:p>
    <w:p w:rsidR="00830E70" w:rsidRDefault="00830E70">
      <w:pPr>
        <w:jc w:val="center"/>
      </w:pPr>
    </w:p>
    <w:p w:rsidR="00830E70" w:rsidRDefault="00830E70">
      <w:pPr>
        <w:jc w:val="center"/>
      </w:pPr>
    </w:p>
    <w:p w:rsidR="00830E70" w:rsidRDefault="00830E70">
      <w:pPr>
        <w:jc w:val="center"/>
      </w:pPr>
    </w:p>
    <w:p w:rsidR="00830E70" w:rsidRDefault="00830E70">
      <w:pPr>
        <w:jc w:val="center"/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A53C0E" w:rsidRDefault="000F3576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59"/>
        <w:gridCol w:w="8547"/>
      </w:tblGrid>
      <w:tr w:rsidR="00037392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037392" w:rsidRDefault="00037392" w:rsidP="00552CF0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BF" w:firstRow="1" w:lastRow="0" w:firstColumn="1" w:lastColumn="0" w:noHBand="0" w:noVBand="0"/>
      </w:tblPr>
      <w:tblGrid>
        <w:gridCol w:w="1659"/>
        <w:gridCol w:w="8547"/>
      </w:tblGrid>
      <w:tr w:rsidR="0092380B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:rsidR="002A3093" w:rsidRDefault="002A3093">
            <w:pPr>
              <w:rPr>
                <w:rFonts w:ascii="Arial" w:hAnsi="Arial"/>
                <w:sz w:val="18"/>
              </w:rPr>
            </w:pPr>
          </w:p>
          <w:p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Domaine Fonctionnel : ………………………. </w:t>
            </w:r>
            <w:proofErr w:type="spellStart"/>
            <w:r>
              <w:rPr>
                <w:rFonts w:ascii="Arial" w:hAnsi="Arial"/>
                <w:sz w:val="18"/>
              </w:rPr>
              <w:t>eOTP</w:t>
            </w:r>
            <w:proofErr w:type="spellEnd"/>
            <w:r>
              <w:rPr>
                <w:rFonts w:ascii="Arial" w:hAnsi="Arial"/>
                <w:sz w:val="18"/>
              </w:rPr>
              <w:t> : …………………………………………</w:t>
            </w:r>
          </w:p>
          <w:p w:rsidR="00597FFC" w:rsidRDefault="00597FFC">
            <w:pPr>
              <w:rPr>
                <w:rFonts w:ascii="Arial" w:hAnsi="Arial"/>
                <w:sz w:val="18"/>
              </w:rPr>
            </w:pPr>
          </w:p>
          <w:p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:rsidR="001107DD" w:rsidRDefault="001107DD">
            <w:pPr>
              <w:rPr>
                <w:rFonts w:ascii="Arial" w:hAnsi="Arial"/>
                <w:sz w:val="18"/>
              </w:rPr>
            </w:pPr>
          </w:p>
          <w:p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:rsidR="00DF51FA" w:rsidRDefault="00DF51FA" w:rsidP="0082315F">
      <w:pPr>
        <w:jc w:val="both"/>
        <w:rPr>
          <w:rFonts w:ascii="Arial" w:hAnsi="Arial"/>
          <w:sz w:val="20"/>
        </w:rPr>
      </w:pPr>
    </w:p>
    <w:p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8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15A" w:rsidRDefault="00EA315A" w:rsidP="003E40AE">
      <w:r>
        <w:separator/>
      </w:r>
    </w:p>
  </w:endnote>
  <w:endnote w:type="continuationSeparator" w:id="0">
    <w:p w:rsidR="00EA315A" w:rsidRDefault="00EA315A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982EB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982EBC" w:rsidRPr="00CE5D98">
      <w:rPr>
        <w:rFonts w:ascii="Arial" w:hAnsi="Arial"/>
        <w:sz w:val="20"/>
      </w:rPr>
      <w:fldChar w:fldCharType="separate"/>
    </w:r>
    <w:r w:rsidR="003527AD">
      <w:rPr>
        <w:rFonts w:ascii="Arial" w:hAnsi="Arial"/>
        <w:noProof/>
        <w:sz w:val="20"/>
      </w:rPr>
      <w:t>4</w:t>
    </w:r>
    <w:r w:rsidR="00982EB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982EB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982EBC" w:rsidRPr="00CE5D98">
      <w:rPr>
        <w:rFonts w:ascii="Arial" w:hAnsi="Arial"/>
        <w:sz w:val="20"/>
      </w:rPr>
      <w:fldChar w:fldCharType="separate"/>
    </w:r>
    <w:r w:rsidR="003527AD">
      <w:rPr>
        <w:rFonts w:ascii="Arial" w:hAnsi="Arial"/>
        <w:noProof/>
        <w:sz w:val="20"/>
      </w:rPr>
      <w:t>4</w:t>
    </w:r>
    <w:r w:rsidR="00982EB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15A" w:rsidRDefault="00EA315A" w:rsidP="003E40AE">
      <w:r>
        <w:separator/>
      </w:r>
    </w:p>
  </w:footnote>
  <w:footnote w:type="continuationSeparator" w:id="0">
    <w:p w:rsidR="00EA315A" w:rsidRDefault="00EA315A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B9"/>
    <w:rsid w:val="00002AC2"/>
    <w:rsid w:val="00017BA3"/>
    <w:rsid w:val="0002548C"/>
    <w:rsid w:val="000324A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96C"/>
    <w:rsid w:val="000C37ED"/>
    <w:rsid w:val="000C497C"/>
    <w:rsid w:val="000D754D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95810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27AD"/>
    <w:rsid w:val="00353615"/>
    <w:rsid w:val="00356BA6"/>
    <w:rsid w:val="003646D9"/>
    <w:rsid w:val="003A10AC"/>
    <w:rsid w:val="003A6C4A"/>
    <w:rsid w:val="003B5CB7"/>
    <w:rsid w:val="003C7704"/>
    <w:rsid w:val="003D2B82"/>
    <w:rsid w:val="003E2647"/>
    <w:rsid w:val="003E40AE"/>
    <w:rsid w:val="003F0698"/>
    <w:rsid w:val="00421132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C46B0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D0646"/>
    <w:rsid w:val="006D514F"/>
    <w:rsid w:val="006E126E"/>
    <w:rsid w:val="006F5887"/>
    <w:rsid w:val="00700BA0"/>
    <w:rsid w:val="007075D0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D3D11"/>
    <w:rsid w:val="008E48E8"/>
    <w:rsid w:val="008F6035"/>
    <w:rsid w:val="00911F36"/>
    <w:rsid w:val="0092380B"/>
    <w:rsid w:val="00924913"/>
    <w:rsid w:val="009316DE"/>
    <w:rsid w:val="00931EF2"/>
    <w:rsid w:val="009443D6"/>
    <w:rsid w:val="00956072"/>
    <w:rsid w:val="00957A89"/>
    <w:rsid w:val="00982735"/>
    <w:rsid w:val="00982EBC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E18E4"/>
    <w:rsid w:val="00BF0288"/>
    <w:rsid w:val="00BF0BE6"/>
    <w:rsid w:val="00C23523"/>
    <w:rsid w:val="00C27C70"/>
    <w:rsid w:val="00C3107D"/>
    <w:rsid w:val="00C365B7"/>
    <w:rsid w:val="00C40FE7"/>
    <w:rsid w:val="00C4140A"/>
    <w:rsid w:val="00C42CA2"/>
    <w:rsid w:val="00C70C41"/>
    <w:rsid w:val="00C8791B"/>
    <w:rsid w:val="00CA064B"/>
    <w:rsid w:val="00CA0F20"/>
    <w:rsid w:val="00CB758E"/>
    <w:rsid w:val="00CE5D98"/>
    <w:rsid w:val="00CF77C0"/>
    <w:rsid w:val="00D0032E"/>
    <w:rsid w:val="00D12C6D"/>
    <w:rsid w:val="00D173F7"/>
    <w:rsid w:val="00D31F1C"/>
    <w:rsid w:val="00D32A6E"/>
    <w:rsid w:val="00D4276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6184"/>
    <w:rsid w:val="00E941A5"/>
    <w:rsid w:val="00E95D34"/>
    <w:rsid w:val="00EA315A"/>
    <w:rsid w:val="00EB1781"/>
    <w:rsid w:val="00EB689C"/>
    <w:rsid w:val="00EB7D97"/>
    <w:rsid w:val="00ED418C"/>
    <w:rsid w:val="00ED4DB2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D3D83-2973-4450-AE12-77D784D4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Marie Garnier</cp:lastModifiedBy>
  <cp:revision>2</cp:revision>
  <cp:lastPrinted>2014-02-18T08:41:00Z</cp:lastPrinted>
  <dcterms:created xsi:type="dcterms:W3CDTF">2019-04-12T14:42:00Z</dcterms:created>
  <dcterms:modified xsi:type="dcterms:W3CDTF">2019-04-12T14:42:00Z</dcterms:modified>
</cp:coreProperties>
</file>